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23512C" w:rsidRPr="0023512C" w:rsidRDefault="00CB7DAB" w:rsidP="00FF40FE">
      <w:pPr>
        <w:jc w:val="center"/>
        <w:rPr>
          <w:rFonts w:ascii="IranNastaliq" w:hAnsi="IranNastaliq" w:cs="IranNastaliq" w:hint="cs"/>
          <w:b/>
          <w:bCs/>
          <w:color w:val="984806" w:themeColor="accent6" w:themeShade="80"/>
          <w:sz w:val="6"/>
          <w:szCs w:val="6"/>
          <w:rtl/>
        </w:rPr>
      </w:pPr>
      <w:r>
        <w:rPr>
          <w:rFonts w:ascii="IranNastaliq" w:hAnsi="IranNastaliq" w:cs="IranNastaliq" w:hint="cs"/>
          <w:b/>
          <w:bCs/>
          <w:noProof/>
          <w:color w:val="984806" w:themeColor="accent6" w:themeShade="80"/>
          <w:sz w:val="6"/>
          <w:szCs w:val="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161925</wp:posOffset>
            </wp:positionV>
            <wp:extent cx="2929255" cy="2357755"/>
            <wp:effectExtent l="38100" t="0" r="23495" b="709295"/>
            <wp:wrapSquare wrapText="bothSides"/>
            <wp:docPr id="1" name="Picture 1" descr="10102011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010201107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357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F40FE" w:rsidRPr="00FF40FE" w:rsidRDefault="00FF40FE" w:rsidP="00FF40FE">
      <w:pPr>
        <w:jc w:val="center"/>
        <w:rPr>
          <w:rFonts w:ascii="IranNastaliq" w:hAnsi="IranNastaliq" w:cs="IranNastaliq"/>
          <w:b/>
          <w:bCs/>
          <w:color w:val="984806" w:themeColor="accent6" w:themeShade="80"/>
          <w:sz w:val="72"/>
          <w:szCs w:val="72"/>
        </w:rPr>
      </w:pPr>
      <w:r w:rsidRPr="00FF40FE">
        <w:rPr>
          <w:rFonts w:ascii="IranNastaliq" w:hAnsi="IranNastaliq" w:cs="IranNastaliq"/>
          <w:b/>
          <w:bCs/>
          <w:color w:val="984806" w:themeColor="accent6" w:themeShade="80"/>
          <w:sz w:val="72"/>
          <w:szCs w:val="72"/>
          <w:rtl/>
        </w:rPr>
        <w:t>حاکمیت بالینی</w:t>
      </w:r>
      <w:r>
        <w:rPr>
          <w:rFonts w:ascii="IranNastaliq" w:hAnsi="IranNastaliq" w:cs="IranNastaliq" w:hint="cs"/>
          <w:b/>
          <w:bCs/>
          <w:color w:val="984806" w:themeColor="accent6" w:themeShade="80"/>
          <w:sz w:val="72"/>
          <w:szCs w:val="72"/>
          <w:rtl/>
        </w:rPr>
        <w:t xml:space="preserve"> </w:t>
      </w:r>
      <w:r>
        <w:rPr>
          <w:rFonts w:ascii="IranNastaliq" w:hAnsi="IranNastaliq" w:cs="IranNastaliq"/>
          <w:b/>
          <w:bCs/>
          <w:color w:val="984806" w:themeColor="accent6" w:themeShade="80"/>
          <w:sz w:val="72"/>
          <w:szCs w:val="72"/>
        </w:rPr>
        <w:t xml:space="preserve"> CG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هدف اصلی استقرارنظام حاکمیت بالینی ارتقاء مستمر کیفیت خدمات است و چارچوبی را فراهم می نماید که در غالب آن 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سازمان های ارائه دهنده خدمات سلامت می توانند به سمت رشد، توسعه وتضمین خدمات بالینی برای بیماران حرکت کنند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این چارچوب در ارتباط با حوزه های کلیدی زیر می باشد:</w:t>
      </w:r>
    </w:p>
    <w:p w:rsidR="00000000" w:rsidRPr="00DC2774" w:rsidRDefault="00117AD8" w:rsidP="00FF40FE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</w:pPr>
      <w:r w:rsidRPr="00DC2774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  <w:t>مدیریت کارکنان</w:t>
      </w:r>
      <w:r w:rsidR="00CB7DAB">
        <w:rPr>
          <w:rFonts w:asciiTheme="majorBidi" w:hAnsiTheme="majorBidi" w:cstheme="majorBidi" w:hint="cs"/>
          <w:b/>
          <w:bCs/>
          <w:color w:val="984806" w:themeColor="accent6" w:themeShade="80"/>
          <w:sz w:val="24"/>
          <w:szCs w:val="24"/>
          <w:rtl/>
        </w:rPr>
        <w:t xml:space="preserve">                     </w:t>
      </w:r>
    </w:p>
    <w:p w:rsidR="00000000" w:rsidRPr="00DC2774" w:rsidRDefault="00117AD8" w:rsidP="00FF40FE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</w:pPr>
      <w:r w:rsidRPr="00DC2774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  <w:t>آموزش و مهارت آموزی</w:t>
      </w:r>
    </w:p>
    <w:p w:rsidR="00000000" w:rsidRPr="00DC2774" w:rsidRDefault="00117AD8" w:rsidP="00FF40FE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</w:pPr>
      <w:r w:rsidRPr="00DC2774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  <w:t>تعامل بیمار و جامعه</w:t>
      </w:r>
    </w:p>
    <w:p w:rsidR="00000000" w:rsidRPr="00DC2774" w:rsidRDefault="00117AD8" w:rsidP="00FF40FE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</w:pPr>
      <w:r w:rsidRPr="00DC2774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  <w:t>استفاده از اطلاعات</w:t>
      </w:r>
    </w:p>
    <w:p w:rsidR="00000000" w:rsidRPr="00DC2774" w:rsidRDefault="00117AD8" w:rsidP="00FF40FE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</w:pPr>
      <w:r w:rsidRPr="00DC2774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  <w:t>مدیریت خطر</w:t>
      </w:r>
    </w:p>
    <w:p w:rsidR="00000000" w:rsidRPr="00DC2774" w:rsidRDefault="00117AD8" w:rsidP="00FF40FE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</w:pPr>
      <w:r w:rsidRPr="00DC2774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  <w:rtl/>
        </w:rPr>
        <w:t xml:space="preserve">اثربخشی بالینی 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حاکمیت بالینی به صورت رسمی از 1389/09/01دربیمارستان امام خمینی(ره) شروع به فعالیت کرده است. 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اعضاء اصلی تیم حاکمیت بالینی  :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آقای دکتر علی افکار– ریاست بیمارستان ومعاون درمان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خانم رحیمه قریشی – مترون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خانم  مریم توکلی – سوپروایزر آموزشی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خانم مرضیه قربانی - کارشناس حاکمیت بالینی 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آقای دکتر محمد مهدی منزوی – متخصص اطفال</w:t>
      </w:r>
    </w:p>
    <w:p w:rsidR="00FF40FE" w:rsidRPr="00FF40FE" w:rsidRDefault="00FF40FE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مسئول هر واحد نیز به عنوان رابط حاکمیت بالینی تعیین گردید.</w:t>
      </w:r>
    </w:p>
    <w:p w:rsidR="00FF40FE" w:rsidRPr="00FF40FE" w:rsidRDefault="00CB7DAB" w:rsidP="00DC2774">
      <w:pPr>
        <w:rPr>
          <w:b/>
          <w:bCs/>
          <w:color w:val="984806" w:themeColor="accent6" w:themeShade="80"/>
          <w:sz w:val="24"/>
          <w:szCs w:val="24"/>
        </w:rPr>
      </w:pPr>
      <w:r>
        <w:rPr>
          <w:b/>
          <w:bCs/>
          <w:noProof/>
          <w:color w:val="984806" w:themeColor="accent6" w:themeShade="80"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7781925</wp:posOffset>
            </wp:positionV>
            <wp:extent cx="2543175" cy="1905000"/>
            <wp:effectExtent l="19050" t="0" r="9525" b="0"/>
            <wp:wrapSquare wrapText="bothSides"/>
            <wp:docPr id="3" name="Picture 2" descr="1010201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20110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40FE" w:rsidRPr="00FF40FE">
        <w:rPr>
          <w:b/>
          <w:bCs/>
          <w:color w:val="984806" w:themeColor="accent6" w:themeShade="80"/>
          <w:sz w:val="24"/>
          <w:szCs w:val="24"/>
          <w:rtl/>
        </w:rPr>
        <w:t>حاکمیت بالینی دیدگاهی ادغام یافته از مراقبت های بالینی وغیر بالینی که کیفیتی جامع را در بر میگیرد</w:t>
      </w:r>
      <w:r w:rsidR="00DC2774">
        <w:rPr>
          <w:rFonts w:hint="cs"/>
          <w:b/>
          <w:bCs/>
          <w:color w:val="984806" w:themeColor="accent6" w:themeShade="80"/>
          <w:sz w:val="24"/>
          <w:szCs w:val="24"/>
          <w:rtl/>
        </w:rPr>
        <w:t>و در حال حاضر حاکمیت بالینی به صورت همراستا با اهداف بهبود کیفیت واعتبار بخشی گام بر می دارد.</w:t>
      </w: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اقدامات صورت گرفته در راستای حاکمیت بالینی</w:t>
      </w:r>
      <w:r w:rsidRPr="00FF40FE">
        <w:rPr>
          <w:rFonts w:hint="cs"/>
          <w:b/>
          <w:bCs/>
          <w:color w:val="984806" w:themeColor="accent6" w:themeShade="80"/>
          <w:sz w:val="24"/>
          <w:szCs w:val="24"/>
          <w:rtl/>
        </w:rPr>
        <w:t>:</w:t>
      </w:r>
    </w:p>
    <w:p w:rsidR="00FF40FE" w:rsidRPr="00CB7DAB" w:rsidRDefault="00CB7DAB" w:rsidP="00CB7DAB">
      <w:pPr>
        <w:rPr>
          <w:rFonts w:hint="cs"/>
          <w:b/>
          <w:bCs/>
          <w:color w:val="984806" w:themeColor="accent6" w:themeShade="80"/>
          <w:rtl/>
        </w:rPr>
      </w:pPr>
      <w:r w:rsidRPr="00CB7DAB">
        <w:rPr>
          <w:rFonts w:hint="cs"/>
          <w:b/>
          <w:bCs/>
          <w:color w:val="984806" w:themeColor="accent6" w:themeShade="80"/>
          <w:rtl/>
        </w:rPr>
        <w:t xml:space="preserve">تدوین برنامه عملیاتی حاکمیت بالینی بیمارستان ، </w:t>
      </w:r>
      <w:r w:rsidR="00FF40FE" w:rsidRPr="00CB7DAB">
        <w:rPr>
          <w:b/>
          <w:bCs/>
          <w:color w:val="984806" w:themeColor="accent6" w:themeShade="80"/>
          <w:rtl/>
        </w:rPr>
        <w:t xml:space="preserve">ثبت روزانه ترخیص با میل شخصی و بررسی آن به صورت ماهیانه و مقایسه آن با استاندارد ها وارائه راهکار برای آن </w:t>
      </w:r>
      <w:r w:rsidR="00FF40FE" w:rsidRPr="00CB7DAB">
        <w:rPr>
          <w:rFonts w:hint="cs"/>
          <w:b/>
          <w:bCs/>
          <w:color w:val="984806" w:themeColor="accent6" w:themeShade="80"/>
          <w:rtl/>
        </w:rPr>
        <w:t>،</w:t>
      </w:r>
      <w:r w:rsidR="00FF40FE" w:rsidRPr="00CB7DAB">
        <w:rPr>
          <w:b/>
          <w:bCs/>
          <w:color w:val="984806" w:themeColor="accent6" w:themeShade="80"/>
          <w:rtl/>
        </w:rPr>
        <w:t>بررسی رضایت مندی بیماران</w:t>
      </w:r>
      <w:r w:rsidR="00FF40FE" w:rsidRPr="00CB7DAB">
        <w:rPr>
          <w:rFonts w:hint="cs"/>
          <w:b/>
          <w:bCs/>
          <w:color w:val="984806" w:themeColor="accent6" w:themeShade="80"/>
          <w:rtl/>
        </w:rPr>
        <w:t>،</w:t>
      </w:r>
      <w:r w:rsidR="00FF40FE" w:rsidRPr="00CB7DAB">
        <w:rPr>
          <w:b/>
          <w:bCs/>
          <w:color w:val="984806" w:themeColor="accent6" w:themeShade="80"/>
          <w:rtl/>
        </w:rPr>
        <w:t xml:space="preserve"> رسیدگی به شکایات بیماران واستفاده از پیشنهادات و انتقادات بیماران و همراهیان</w:t>
      </w:r>
      <w:r w:rsidR="00FF40FE" w:rsidRPr="00CB7DAB">
        <w:rPr>
          <w:rFonts w:hint="cs"/>
          <w:b/>
          <w:bCs/>
          <w:color w:val="984806" w:themeColor="accent6" w:themeShade="80"/>
          <w:rtl/>
        </w:rPr>
        <w:t>،</w:t>
      </w:r>
      <w:r w:rsidR="00FF40FE" w:rsidRPr="00CB7DAB">
        <w:rPr>
          <w:b/>
          <w:bCs/>
          <w:color w:val="984806" w:themeColor="accent6" w:themeShade="80"/>
          <w:rtl/>
        </w:rPr>
        <w:t xml:space="preserve"> طراحی و تدوین کتابچه راهنمای مراجعین</w:t>
      </w:r>
      <w:r w:rsidR="00FF40FE" w:rsidRPr="00CB7DAB">
        <w:rPr>
          <w:b/>
          <w:bCs/>
          <w:color w:val="984806" w:themeColor="accent6" w:themeShade="80"/>
        </w:rPr>
        <w:t xml:space="preserve"> </w:t>
      </w:r>
      <w:r w:rsidR="00FF40FE" w:rsidRPr="00CB7DAB">
        <w:rPr>
          <w:rFonts w:hint="cs"/>
          <w:b/>
          <w:bCs/>
          <w:color w:val="984806" w:themeColor="accent6" w:themeShade="80"/>
          <w:rtl/>
        </w:rPr>
        <w:t xml:space="preserve">، </w:t>
      </w:r>
      <w:r w:rsidR="0023512C" w:rsidRPr="00CB7DAB">
        <w:rPr>
          <w:rFonts w:hint="cs"/>
          <w:b/>
          <w:bCs/>
          <w:color w:val="984806" w:themeColor="accent6" w:themeShade="80"/>
          <w:rtl/>
        </w:rPr>
        <w:t>کتابچه دارویی در هر بخش ،کتابچه جهت آشنایی پرسنل جدیدالورود ویژه هر بخش ،</w:t>
      </w:r>
      <w:r w:rsidR="00FF40FE" w:rsidRPr="00CB7DAB">
        <w:rPr>
          <w:rFonts w:hint="cs"/>
          <w:b/>
          <w:bCs/>
          <w:color w:val="984806" w:themeColor="accent6" w:themeShade="80"/>
          <w:rtl/>
        </w:rPr>
        <w:t>اجرای اهداف مدیریت خطر جهت کاهش آسیب های شغلی کارکنان وکاهش خطاهای درمانی وآسیب به بیمار</w:t>
      </w:r>
      <w:r w:rsidR="00FF40FE" w:rsidRPr="00CB7DAB">
        <w:rPr>
          <w:b/>
          <w:bCs/>
          <w:color w:val="984806" w:themeColor="accent6" w:themeShade="80"/>
          <w:rtl/>
        </w:rPr>
        <w:t>....</w:t>
      </w:r>
      <w:r w:rsidR="00FF40FE" w:rsidRPr="00CB7DAB">
        <w:rPr>
          <w:b/>
          <w:bCs/>
          <w:color w:val="984806" w:themeColor="accent6" w:themeShade="80"/>
        </w:rPr>
        <w:t xml:space="preserve"> </w:t>
      </w:r>
    </w:p>
    <w:p w:rsidR="00FF40FE" w:rsidRDefault="00496E70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rFonts w:hint="cs"/>
          <w:b/>
          <w:bCs/>
          <w:noProof/>
          <w:color w:val="984806" w:themeColor="accent6" w:themeShade="80"/>
          <w:sz w:val="24"/>
          <w:szCs w:val="24"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209550</wp:posOffset>
            </wp:positionV>
            <wp:extent cx="2466975" cy="1924050"/>
            <wp:effectExtent l="19050" t="0" r="9525" b="0"/>
            <wp:wrapSquare wrapText="bothSides"/>
            <wp:docPr id="4" name="Picture 3" descr="1010201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20110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40FE" w:rsidRPr="00FF40FE" w:rsidRDefault="00496E70" w:rsidP="00CB7DAB">
      <w:pPr>
        <w:rPr>
          <w:rFonts w:ascii="IranNastaliq" w:hAnsi="IranNastaliq" w:cs="IranNastaliq"/>
          <w:b/>
          <w:bCs/>
          <w:color w:val="984806" w:themeColor="accent6" w:themeShade="80"/>
          <w:sz w:val="56"/>
          <w:szCs w:val="56"/>
          <w:rtl/>
        </w:rPr>
      </w:pPr>
      <w:r>
        <w:rPr>
          <w:rFonts w:ascii="IranNastaliq" w:hAnsi="IranNastaliq" w:cs="IranNastaliq"/>
          <w:b/>
          <w:bCs/>
          <w:noProof/>
          <w:color w:val="984806" w:themeColor="accent6" w:themeShade="80"/>
          <w:sz w:val="56"/>
          <w:szCs w:val="56"/>
          <w:rtl/>
        </w:rPr>
        <w:pict>
          <v:roundrect id="_x0000_s1033" style="position:absolute;left:0;text-align:left;margin-left:195pt;margin-top:58.15pt;width:114.75pt;height:29.25pt;z-index:25166950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96E70" w:rsidRPr="00496E70" w:rsidRDefault="00496E70" w:rsidP="00496E70">
                  <w:pPr>
                    <w:jc w:val="center"/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</w:rPr>
                  </w:pPr>
                  <w:r w:rsidRPr="00496E70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مدیریت خطر</w:t>
                  </w:r>
                </w:p>
              </w:txbxContent>
            </v:textbox>
            <w10:wrap anchorx="page"/>
          </v:roundrect>
        </w:pict>
      </w:r>
      <w:r w:rsidR="00CB7DAB">
        <w:rPr>
          <w:rFonts w:ascii="IranNastaliq" w:hAnsi="IranNastaliq" w:cs="IranNastaliq"/>
          <w:b/>
          <w:bCs/>
          <w:noProof/>
          <w:color w:val="984806" w:themeColor="accent6" w:themeShade="80"/>
          <w:sz w:val="56"/>
          <w:szCs w:val="56"/>
          <w:rtl/>
        </w:rPr>
        <w:pict>
          <v:roundrect id="_x0000_s1026" style="position:absolute;left:0;text-align:left;margin-left:415.5pt;margin-top:58.15pt;width:108.75pt;height:29.25pt;z-index:25166028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6">
              <w:txbxContent>
                <w:p w:rsidR="0023512C" w:rsidRPr="00FF40FE" w:rsidRDefault="0023512C" w:rsidP="00DC2774">
                  <w:pPr>
                    <w:jc w:val="center"/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  <w:r w:rsidRPr="00FF40FE"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مدیریت خطر</w:t>
                  </w:r>
                </w:p>
                <w:p w:rsidR="0023512C" w:rsidRDefault="0023512C"/>
              </w:txbxContent>
            </v:textbox>
            <w10:wrap anchorx="page"/>
          </v:roundrect>
        </w:pict>
      </w:r>
      <w:r w:rsidR="00FF40FE" w:rsidRPr="00FF40FE">
        <w:rPr>
          <w:rFonts w:ascii="IranNastaliq" w:hAnsi="IranNastaliq" w:cs="IranNastaliq"/>
          <w:b/>
          <w:bCs/>
          <w:color w:val="984806" w:themeColor="accent6" w:themeShade="80"/>
          <w:sz w:val="56"/>
          <w:szCs w:val="56"/>
          <w:rtl/>
        </w:rPr>
        <w:t>هفت محور اصلی حاکمیت بالینی</w:t>
      </w:r>
      <w:r w:rsidR="00FF40FE">
        <w:rPr>
          <w:rFonts w:ascii="IranNastaliq" w:hAnsi="IranNastaliq" w:cs="IranNastaliq" w:hint="cs"/>
          <w:b/>
          <w:bCs/>
          <w:color w:val="984806" w:themeColor="accent6" w:themeShade="80"/>
          <w:sz w:val="56"/>
          <w:szCs w:val="56"/>
          <w:rtl/>
        </w:rPr>
        <w:t>:</w:t>
      </w:r>
    </w:p>
    <w:p w:rsidR="0023512C" w:rsidRDefault="0023512C" w:rsidP="00FF40FE">
      <w:pPr>
        <w:rPr>
          <w:rFonts w:hint="cs"/>
          <w:b/>
          <w:bCs/>
          <w:color w:val="984806" w:themeColor="accent6" w:themeShade="80"/>
          <w:sz w:val="24"/>
          <w:szCs w:val="24"/>
          <w:u w:val="single"/>
          <w:rtl/>
        </w:rPr>
      </w:pPr>
    </w:p>
    <w:p w:rsidR="00FF40FE" w:rsidRPr="00FF40FE" w:rsidRDefault="00FF40FE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ثبت خطا های پزشکی  و آنالیز آن و ارائه راهکار جهت کاهش خطا ، اجرای 9 راه حل ایمنی بیمار ، ایجاد نظام </w:t>
      </w:r>
      <w:r w:rsidRPr="00FF40FE">
        <w:rPr>
          <w:b/>
          <w:bCs/>
          <w:color w:val="984806" w:themeColor="accent6" w:themeShade="80"/>
          <w:sz w:val="24"/>
          <w:szCs w:val="24"/>
        </w:rPr>
        <w:t>CPR</w:t>
      </w: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 ، </w:t>
      </w:r>
    </w:p>
    <w:p w:rsidR="00FF40FE" w:rsidRDefault="00FF40FE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کنترل عفونت های بیمارستانی ، انجام کالیبراسیون دوره ای تجهیزات ، جداسازی و تفکیک پسماندها ،  تحلیل ریشه ای وقایع و....</w:t>
      </w:r>
      <w:r w:rsidRPr="00FF40FE">
        <w:rPr>
          <w:b/>
          <w:bCs/>
          <w:color w:val="984806" w:themeColor="accent6" w:themeShade="80"/>
          <w:sz w:val="24"/>
          <w:szCs w:val="24"/>
        </w:rPr>
        <w:t xml:space="preserve"> </w:t>
      </w:r>
    </w:p>
    <w:p w:rsidR="00CB7DAB" w:rsidRDefault="00CB7DAB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b/>
          <w:bCs/>
          <w:noProof/>
          <w:color w:val="984806" w:themeColor="accent6" w:themeShade="80"/>
          <w:sz w:val="24"/>
          <w:szCs w:val="24"/>
          <w:rtl/>
        </w:rPr>
        <w:pict>
          <v:roundrect id="_x0000_s1027" style="position:absolute;left:0;text-align:left;margin-left:410.25pt;margin-top:2.9pt;width:116.25pt;height:29.25pt;z-index:25166131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7">
              <w:txbxContent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  <w:r w:rsidRPr="00FF40FE"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آموزش و مهارت آموزی</w:t>
                  </w:r>
                </w:p>
                <w:p w:rsidR="00DC2774" w:rsidRDefault="00DC2774" w:rsidP="00DC2774"/>
              </w:txbxContent>
            </v:textbox>
            <w10:wrap anchorx="page"/>
          </v:roundrect>
        </w:pict>
      </w:r>
    </w:p>
    <w:p w:rsidR="00DC2774" w:rsidRDefault="00DC2774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</w:p>
    <w:p w:rsidR="00FF40FE" w:rsidRPr="00FF40FE" w:rsidRDefault="00FF40FE" w:rsidP="00DC2774">
      <w:pPr>
        <w:rPr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 </w:t>
      </w:r>
      <w:r w:rsidRPr="00FF40FE">
        <w:rPr>
          <w:b/>
          <w:bCs/>
          <w:color w:val="984806" w:themeColor="accent6" w:themeShade="80"/>
          <w:sz w:val="24"/>
          <w:szCs w:val="24"/>
        </w:rPr>
        <w:t xml:space="preserve"> </w:t>
      </w: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اجرای برنامه نوسعه فردی در غالب نیازسنجی آموزشی،تدوین کتابچه آموزشی جهت پرسنل جدیدالورود، ایجاد پرونده آموزشی </w:t>
      </w:r>
    </w:p>
    <w:p w:rsidR="00FF40FE" w:rsidRDefault="00FF40FE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 کارکنان در هر بخش ، برگزاری کلاس های درون بخشی ، آموزش به بیمار، ایجاد پمفلت آموزشی و....</w:t>
      </w:r>
      <w:r w:rsidRPr="00FF40FE">
        <w:rPr>
          <w:b/>
          <w:bCs/>
          <w:color w:val="984806" w:themeColor="accent6" w:themeShade="80"/>
          <w:sz w:val="24"/>
          <w:szCs w:val="24"/>
        </w:rPr>
        <w:t xml:space="preserve"> </w:t>
      </w:r>
    </w:p>
    <w:p w:rsidR="00DC2774" w:rsidRDefault="00DC2774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b/>
          <w:bCs/>
          <w:noProof/>
          <w:color w:val="984806" w:themeColor="accent6" w:themeShade="80"/>
          <w:sz w:val="24"/>
          <w:szCs w:val="24"/>
          <w:rtl/>
        </w:rPr>
        <w:pict>
          <v:roundrect id="_x0000_s1028" style="position:absolute;left:0;text-align:left;margin-left:406.5pt;margin-top:2.15pt;width:120pt;height:29.25pt;z-index:25166233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8">
              <w:txbxContent>
                <w:p w:rsidR="00DC2774" w:rsidRPr="00FF40FE" w:rsidRDefault="00DC2774" w:rsidP="00DC2774">
                  <w:pPr>
                    <w:jc w:val="center"/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  <w:r w:rsidRPr="00FF40FE"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استفاده از اطلاعات</w:t>
                  </w:r>
                </w:p>
                <w:p w:rsidR="00DC2774" w:rsidRDefault="00DC2774" w:rsidP="00DC2774">
                  <w:pPr>
                    <w:jc w:val="center"/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</w:p>
                <w:p w:rsidR="00DC2774" w:rsidRDefault="00DC2774" w:rsidP="00DC2774"/>
              </w:txbxContent>
            </v:textbox>
            <w10:wrap anchorx="page"/>
          </v:roundrect>
        </w:pict>
      </w:r>
    </w:p>
    <w:p w:rsidR="00DC2774" w:rsidRPr="00FF40FE" w:rsidRDefault="00DC2774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</w:p>
    <w:p w:rsidR="00FF40FE" w:rsidRDefault="00FF40FE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استفاده از سیستم </w:t>
      </w:r>
      <w:r w:rsidRPr="00FF40FE">
        <w:rPr>
          <w:b/>
          <w:bCs/>
          <w:color w:val="984806" w:themeColor="accent6" w:themeShade="80"/>
          <w:sz w:val="24"/>
          <w:szCs w:val="24"/>
        </w:rPr>
        <w:t>HIS</w:t>
      </w:r>
      <w:r w:rsidRPr="00FF40FE">
        <w:rPr>
          <w:b/>
          <w:bCs/>
          <w:color w:val="984806" w:themeColor="accent6" w:themeShade="80"/>
          <w:sz w:val="24"/>
          <w:szCs w:val="24"/>
          <w:rtl/>
        </w:rPr>
        <w:t xml:space="preserve"> در بیمارستان  و وجود سیستم پشتیبانی آن،ایجاد نظام یکپارچه اطلاعاتی  ، اتوماسیون اداری و...</w:t>
      </w:r>
    </w:p>
    <w:p w:rsidR="00DC2774" w:rsidRDefault="00DC2774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b/>
          <w:bCs/>
          <w:noProof/>
          <w:color w:val="984806" w:themeColor="accent6" w:themeShade="80"/>
          <w:sz w:val="24"/>
          <w:szCs w:val="24"/>
          <w:rtl/>
        </w:rPr>
        <w:pict>
          <v:roundrect id="_x0000_s1029" style="position:absolute;left:0;text-align:left;margin-left:410.25pt;margin-top:3.4pt;width:116.25pt;height:29.25pt;z-index:25166336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C2774" w:rsidRPr="00FF40FE" w:rsidRDefault="00DC2774" w:rsidP="00DC2774">
                  <w:pPr>
                    <w:jc w:val="center"/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  <w:r w:rsidRPr="00FF40FE"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اثر بخشی بالینی</w:t>
                  </w: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</w:p>
                <w:p w:rsidR="00DC2774" w:rsidRDefault="00DC2774" w:rsidP="00DC2774"/>
              </w:txbxContent>
            </v:textbox>
            <w10:wrap anchorx="page"/>
          </v:roundrect>
        </w:pict>
      </w:r>
    </w:p>
    <w:p w:rsidR="00DC2774" w:rsidRPr="00FF40FE" w:rsidRDefault="00DC2774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</w:p>
    <w:p w:rsidR="00FF40FE" w:rsidRDefault="00FF40FE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تدوین واستفاده از گایدلاین ها یی که مورد تایید هیئت علمی دانشگاه رسیده باشد.</w:t>
      </w:r>
    </w:p>
    <w:p w:rsidR="00DC2774" w:rsidRDefault="00DC2774" w:rsidP="00FF40FE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b/>
          <w:bCs/>
          <w:noProof/>
          <w:color w:val="984806" w:themeColor="accent6" w:themeShade="80"/>
          <w:sz w:val="24"/>
          <w:szCs w:val="24"/>
          <w:rtl/>
        </w:rPr>
        <w:pict>
          <v:roundrect id="_x0000_s1030" style="position:absolute;left:0;text-align:left;margin-left:415.5pt;margin-top:7.95pt;width:116.25pt;height:29.25pt;z-index:25166438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C2774" w:rsidRPr="00FF40FE" w:rsidRDefault="00DC2774" w:rsidP="00DC2774">
                  <w:pPr>
                    <w:jc w:val="center"/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  <w:r w:rsidRPr="00FF40FE"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ممیزی بالینی</w:t>
                  </w: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</w:p>
                <w:p w:rsidR="00DC2774" w:rsidRDefault="00DC2774" w:rsidP="00DC2774"/>
              </w:txbxContent>
            </v:textbox>
            <w10:wrap anchorx="page"/>
          </v:roundrect>
        </w:pict>
      </w:r>
    </w:p>
    <w:p w:rsidR="00DC2774" w:rsidRPr="00FF40FE" w:rsidRDefault="00DC2774" w:rsidP="00FF40FE">
      <w:pPr>
        <w:rPr>
          <w:b/>
          <w:bCs/>
          <w:color w:val="984806" w:themeColor="accent6" w:themeShade="80"/>
          <w:sz w:val="24"/>
          <w:szCs w:val="24"/>
          <w:rtl/>
        </w:rPr>
      </w:pPr>
    </w:p>
    <w:p w:rsidR="00FF40FE" w:rsidRDefault="00FF40FE" w:rsidP="0023512C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تعیین وتدوین استانداردها ،بررسی وضعیت موجود ، مقایسه نتایج با استانداردها ، انجام مداخله وتغییر عملکرد براساس نتایج مقایسه ،ممیزی مجدد جهت حصول اطمینان از بهبود عملکرد(بررسی شاخص های تریاژ، انتی بیوتیک پروفیلاکسی قبل از عمل و ...)</w:t>
      </w:r>
      <w:r w:rsidRPr="00FF40FE">
        <w:rPr>
          <w:b/>
          <w:bCs/>
          <w:color w:val="984806" w:themeColor="accent6" w:themeShade="80"/>
          <w:sz w:val="24"/>
          <w:szCs w:val="24"/>
        </w:rPr>
        <w:t xml:space="preserve"> </w:t>
      </w:r>
    </w:p>
    <w:p w:rsidR="00DC2774" w:rsidRDefault="00DC2774" w:rsidP="0023512C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b/>
          <w:bCs/>
          <w:noProof/>
          <w:color w:val="984806" w:themeColor="accent6" w:themeShade="80"/>
          <w:sz w:val="24"/>
          <w:szCs w:val="24"/>
          <w:rtl/>
        </w:rPr>
        <w:pict>
          <v:roundrect id="_x0000_s1031" style="position:absolute;left:0;text-align:left;margin-left:417.75pt;margin-top:4.1pt;width:114pt;height:29.25pt;z-index:25166540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C2774" w:rsidRPr="0023512C" w:rsidRDefault="00DC2774" w:rsidP="00DC2774">
                  <w:pPr>
                    <w:jc w:val="center"/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  <w:r w:rsidRPr="0023512C">
                    <w:rPr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 xml:space="preserve">مدیریت </w:t>
                  </w:r>
                  <w:r w:rsidRPr="0023512C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کارکنان</w:t>
                  </w: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</w:p>
                <w:p w:rsidR="00DC2774" w:rsidRDefault="00DC2774" w:rsidP="00DC2774"/>
              </w:txbxContent>
            </v:textbox>
            <w10:wrap anchorx="page"/>
          </v:roundrect>
        </w:pict>
      </w:r>
    </w:p>
    <w:p w:rsidR="00DC2774" w:rsidRPr="00FF40FE" w:rsidRDefault="00DC2774" w:rsidP="0023512C">
      <w:pPr>
        <w:rPr>
          <w:b/>
          <w:bCs/>
          <w:color w:val="984806" w:themeColor="accent6" w:themeShade="80"/>
          <w:sz w:val="24"/>
          <w:szCs w:val="24"/>
          <w:rtl/>
        </w:rPr>
      </w:pPr>
    </w:p>
    <w:p w:rsidR="00FF40FE" w:rsidRDefault="00FF40FE" w:rsidP="0023512C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FF40FE">
        <w:rPr>
          <w:b/>
          <w:bCs/>
          <w:color w:val="984806" w:themeColor="accent6" w:themeShade="80"/>
          <w:sz w:val="24"/>
          <w:szCs w:val="24"/>
          <w:rtl/>
        </w:rPr>
        <w:t>تدوین برنامه استراتژی بیمارستان  و پایش پیشرفت برنامه بر اساس زمان بندی ، انجام بازدیدهای مدیریتی و مدیریت صحیح کارکنان ، جای گذاری هر فرد در جایگاه خودش ، استفاده از نظام تشویق کارکنان حمایت رفاهی  ، بررسی رضایتمندی کارکنان و...</w:t>
      </w:r>
      <w:r w:rsidRPr="00FF40FE">
        <w:rPr>
          <w:b/>
          <w:bCs/>
          <w:color w:val="984806" w:themeColor="accent6" w:themeShade="80"/>
          <w:sz w:val="24"/>
          <w:szCs w:val="24"/>
        </w:rPr>
        <w:t xml:space="preserve"> </w:t>
      </w:r>
    </w:p>
    <w:p w:rsidR="00DC2774" w:rsidRDefault="00DC2774" w:rsidP="0023512C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rFonts w:hint="cs"/>
          <w:b/>
          <w:bCs/>
          <w:noProof/>
          <w:color w:val="984806" w:themeColor="accent6" w:themeShade="80"/>
          <w:sz w:val="24"/>
          <w:szCs w:val="24"/>
          <w:rtl/>
        </w:rPr>
        <w:pict>
          <v:roundrect id="_x0000_s1032" style="position:absolute;left:0;text-align:left;margin-left:417.75pt;margin-top:5.9pt;width:116.25pt;height:29.25pt;z-index:25166643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2">
              <w:txbxContent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  <w:r w:rsidRPr="0023512C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تعامل بیمار وهمراهی</w:t>
                  </w: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  <w:r w:rsidRPr="0023512C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تعامل بیمار وهمراهی</w:t>
                  </w: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  <w:r w:rsidRPr="0023512C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  <w:t>تعامل بیمار وهمراهی</w:t>
                  </w:r>
                </w:p>
                <w:p w:rsidR="00DC2774" w:rsidRDefault="00DC2774" w:rsidP="00DC2774">
                  <w:pPr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u w:val="single"/>
                      <w:rtl/>
                    </w:rPr>
                  </w:pPr>
                </w:p>
                <w:p w:rsidR="00DC2774" w:rsidRDefault="00DC2774" w:rsidP="00DC2774"/>
              </w:txbxContent>
            </v:textbox>
            <w10:wrap anchorx="page"/>
          </v:roundrect>
        </w:pict>
      </w:r>
    </w:p>
    <w:p w:rsidR="00DC2774" w:rsidRDefault="00DC2774" w:rsidP="00DC2774">
      <w:pPr>
        <w:tabs>
          <w:tab w:val="left" w:pos="2801"/>
        </w:tabs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>
        <w:rPr>
          <w:b/>
          <w:bCs/>
          <w:color w:val="984806" w:themeColor="accent6" w:themeShade="80"/>
          <w:sz w:val="24"/>
          <w:szCs w:val="24"/>
          <w:rtl/>
        </w:rPr>
        <w:tab/>
      </w:r>
    </w:p>
    <w:p w:rsidR="00DC2774" w:rsidRDefault="00DC2774" w:rsidP="00DC2774">
      <w:pPr>
        <w:tabs>
          <w:tab w:val="left" w:pos="2801"/>
        </w:tabs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  <w:r w:rsidRPr="0023512C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  <w:rtl/>
        </w:rPr>
        <w:t xml:space="preserve">دریافت مطلوب خدمات سلامت  </w:t>
      </w:r>
      <w:r>
        <w:rPr>
          <w:rFonts w:asciiTheme="majorBidi" w:eastAsia="Times New Roman" w:hAnsiTheme="majorBidi" w:cstheme="majorBidi" w:hint="cs"/>
          <w:b/>
          <w:bCs/>
          <w:color w:val="984806" w:themeColor="accent6" w:themeShade="80"/>
          <w:sz w:val="24"/>
          <w:szCs w:val="24"/>
          <w:rtl/>
        </w:rPr>
        <w:t>،</w:t>
      </w:r>
      <w:r w:rsidRPr="0023512C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  <w:rtl/>
        </w:rPr>
        <w:t xml:space="preserve"> در دسترس قرارگیری</w:t>
      </w:r>
      <w:r w:rsidRPr="0023512C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</w:rPr>
        <w:t xml:space="preserve"> </w:t>
      </w:r>
      <w:r w:rsidRPr="0023512C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  <w:rtl/>
        </w:rPr>
        <w:t>اطلاعات به نحو مطلوب</w:t>
      </w:r>
      <w:r w:rsidRPr="0023512C">
        <w:rPr>
          <w:rFonts w:hint="cs"/>
          <w:b/>
          <w:bCs/>
          <w:color w:val="984806" w:themeColor="accent6" w:themeShade="80"/>
          <w:sz w:val="24"/>
          <w:szCs w:val="24"/>
          <w:rtl/>
        </w:rPr>
        <w:t>و.......</w:t>
      </w:r>
    </w:p>
    <w:p w:rsidR="00DC2774" w:rsidRDefault="00DC2774" w:rsidP="0023512C">
      <w:pPr>
        <w:rPr>
          <w:rFonts w:hint="cs"/>
          <w:b/>
          <w:bCs/>
          <w:color w:val="984806" w:themeColor="accent6" w:themeShade="80"/>
          <w:sz w:val="24"/>
          <w:szCs w:val="24"/>
          <w:rtl/>
        </w:rPr>
      </w:pPr>
    </w:p>
    <w:sectPr w:rsidR="00DC2774" w:rsidSect="00FF40FE">
      <w:pgSz w:w="11906" w:h="16838"/>
      <w:pgMar w:top="720" w:right="720" w:bottom="720" w:left="72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D8" w:rsidRDefault="00117AD8" w:rsidP="00FF40FE">
      <w:pPr>
        <w:spacing w:after="0" w:line="240" w:lineRule="auto"/>
      </w:pPr>
      <w:r>
        <w:separator/>
      </w:r>
    </w:p>
  </w:endnote>
  <w:endnote w:type="continuationSeparator" w:id="1">
    <w:p w:rsidR="00117AD8" w:rsidRDefault="00117AD8" w:rsidP="00FF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D8" w:rsidRDefault="00117AD8" w:rsidP="00FF40FE">
      <w:pPr>
        <w:spacing w:after="0" w:line="240" w:lineRule="auto"/>
      </w:pPr>
      <w:r>
        <w:separator/>
      </w:r>
    </w:p>
  </w:footnote>
  <w:footnote w:type="continuationSeparator" w:id="1">
    <w:p w:rsidR="00117AD8" w:rsidRDefault="00117AD8" w:rsidP="00FF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2EB2"/>
    <w:multiLevelType w:val="hybridMultilevel"/>
    <w:tmpl w:val="DE2E1136"/>
    <w:lvl w:ilvl="0" w:tplc="A3800C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D2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FA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BE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0A4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EE0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044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CB8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ABC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1305]"/>
    </o:shapedefaults>
  </w:hdrShapeDefaults>
  <w:footnotePr>
    <w:footnote w:id="0"/>
    <w:footnote w:id="1"/>
  </w:footnotePr>
  <w:endnotePr>
    <w:endnote w:id="0"/>
    <w:endnote w:id="1"/>
  </w:endnotePr>
  <w:compat/>
  <w:rsids>
    <w:rsidRoot w:val="00FF40FE"/>
    <w:rsid w:val="00117AD8"/>
    <w:rsid w:val="0023512C"/>
    <w:rsid w:val="00496E70"/>
    <w:rsid w:val="00BD7D5D"/>
    <w:rsid w:val="00CB7DAB"/>
    <w:rsid w:val="00D1478F"/>
    <w:rsid w:val="00DC2774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8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0FE"/>
  </w:style>
  <w:style w:type="paragraph" w:styleId="Footer">
    <w:name w:val="footer"/>
    <w:basedOn w:val="Normal"/>
    <w:link w:val="FooterChar"/>
    <w:uiPriority w:val="99"/>
    <w:semiHidden/>
    <w:unhideWhenUsed/>
    <w:rsid w:val="00FF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FE"/>
  </w:style>
  <w:style w:type="paragraph" w:styleId="BalloonText">
    <w:name w:val="Balloon Text"/>
    <w:basedOn w:val="Normal"/>
    <w:link w:val="BalloonTextChar"/>
    <w:uiPriority w:val="99"/>
    <w:semiHidden/>
    <w:unhideWhenUsed/>
    <w:rsid w:val="00FF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51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ghorbanim8</dc:creator>
  <cp:lastModifiedBy>ghorbanim8</cp:lastModifiedBy>
  <cp:revision>1</cp:revision>
  <dcterms:created xsi:type="dcterms:W3CDTF">2012-12-18T05:21:00Z</dcterms:created>
  <dcterms:modified xsi:type="dcterms:W3CDTF">2012-12-18T06:05:00Z</dcterms:modified>
</cp:coreProperties>
</file>